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B9C8A">
      <w:pPr>
        <w:spacing w:line="44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道真自治县人民医院</w:t>
      </w:r>
    </w:p>
    <w:p w14:paraId="4DF6F3ED">
      <w:pPr>
        <w:spacing w:line="440" w:lineRule="exact"/>
        <w:ind w:right="64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 xml:space="preserve">   信息系统网络安全等级保护测评服务</w:t>
      </w:r>
    </w:p>
    <w:p w14:paraId="433063A6">
      <w:pPr>
        <w:spacing w:line="440" w:lineRule="exact"/>
        <w:ind w:right="640"/>
        <w:jc w:val="center"/>
        <w:rPr>
          <w:rFonts w:hint="eastAsia" w:ascii="黑体" w:hAnsi="黑体" w:eastAsia="方正小标宋简体"/>
          <w:sz w:val="32"/>
          <w:szCs w:val="32"/>
          <w:lang w:eastAsia="zh-CN"/>
        </w:rPr>
      </w:pPr>
      <w:r>
        <w:rPr>
          <w:rFonts w:hint="eastAsia" w:ascii="方正小标宋简体" w:hAnsi="宋体" w:eastAsia="方正小标宋简体"/>
          <w:sz w:val="44"/>
          <w:szCs w:val="44"/>
          <w:lang w:eastAsia="zh-CN"/>
        </w:rPr>
        <w:t>参数</w:t>
      </w:r>
    </w:p>
    <w:p w14:paraId="262BD4E9">
      <w:pPr>
        <w:rPr>
          <w:rFonts w:ascii="黑体" w:hAnsi="黑体" w:eastAsia="黑体"/>
          <w:sz w:val="32"/>
          <w:szCs w:val="32"/>
        </w:rPr>
      </w:pPr>
      <w:r>
        <w:rPr>
          <w:rFonts w:hint="eastAsia" w:ascii="黑体" w:hAnsi="黑体" w:eastAsia="黑体"/>
          <w:sz w:val="32"/>
          <w:szCs w:val="32"/>
        </w:rPr>
        <w:t>一、项目清单</w:t>
      </w:r>
    </w:p>
    <w:tbl>
      <w:tblPr>
        <w:tblStyle w:val="4"/>
        <w:tblpPr w:leftFromText="180" w:rightFromText="180" w:vertAnchor="text" w:horzAnchor="page" w:tblpX="1668" w:tblpY="420"/>
        <w:tblOverlap w:val="never"/>
        <w:tblW w:w="0" w:type="auto"/>
        <w:tblInd w:w="0" w:type="dxa"/>
        <w:tblLayout w:type="fixed"/>
        <w:tblCellMar>
          <w:top w:w="0" w:type="dxa"/>
          <w:left w:w="108" w:type="dxa"/>
          <w:bottom w:w="0" w:type="dxa"/>
          <w:right w:w="108" w:type="dxa"/>
        </w:tblCellMar>
      </w:tblPr>
      <w:tblGrid>
        <w:gridCol w:w="764"/>
        <w:gridCol w:w="1392"/>
        <w:gridCol w:w="5856"/>
        <w:gridCol w:w="876"/>
      </w:tblGrid>
      <w:tr w14:paraId="4FD4BD0D">
        <w:tblPrEx>
          <w:tblCellMar>
            <w:top w:w="0" w:type="dxa"/>
            <w:left w:w="108" w:type="dxa"/>
            <w:bottom w:w="0" w:type="dxa"/>
            <w:right w:w="108" w:type="dxa"/>
          </w:tblCellMar>
        </w:tblPrEx>
        <w:trPr>
          <w:trHeight w:val="348" w:hRule="atLeast"/>
        </w:trPr>
        <w:tc>
          <w:tcPr>
            <w:tcW w:w="764" w:type="dxa"/>
            <w:tcBorders>
              <w:top w:val="single" w:color="000000" w:sz="4" w:space="0"/>
              <w:left w:val="single" w:color="000000" w:sz="4" w:space="0"/>
              <w:bottom w:val="single" w:color="000000" w:sz="4" w:space="0"/>
              <w:right w:val="single" w:color="000000" w:sz="4" w:space="0"/>
            </w:tcBorders>
            <w:noWrap/>
            <w:vAlign w:val="bottom"/>
          </w:tcPr>
          <w:p w14:paraId="42ED5BA8">
            <w:pPr>
              <w:widowControl/>
              <w:jc w:val="left"/>
              <w:textAlignment w:val="bottom"/>
              <w:rPr>
                <w:rFonts w:ascii="仿宋" w:hAnsi="仿宋" w:eastAsia="仿宋" w:cs="仿宋"/>
                <w:b/>
                <w:color w:val="000000"/>
                <w:szCs w:val="21"/>
              </w:rPr>
            </w:pPr>
            <w:r>
              <w:rPr>
                <w:rFonts w:hint="eastAsia" w:ascii="仿宋" w:hAnsi="仿宋" w:eastAsia="仿宋" w:cs="仿宋"/>
                <w:b/>
                <w:color w:val="000000"/>
                <w:kern w:val="0"/>
                <w:szCs w:val="21"/>
              </w:rPr>
              <w:t>序号</w:t>
            </w:r>
          </w:p>
        </w:tc>
        <w:tc>
          <w:tcPr>
            <w:tcW w:w="1392" w:type="dxa"/>
            <w:tcBorders>
              <w:top w:val="single" w:color="000000" w:sz="4" w:space="0"/>
              <w:left w:val="single" w:color="000000" w:sz="4" w:space="0"/>
              <w:bottom w:val="single" w:color="000000" w:sz="4" w:space="0"/>
              <w:right w:val="single" w:color="000000" w:sz="4" w:space="0"/>
            </w:tcBorders>
            <w:noWrap/>
            <w:vAlign w:val="bottom"/>
          </w:tcPr>
          <w:p w14:paraId="3741DD4A">
            <w:pPr>
              <w:widowControl/>
              <w:ind w:firstLine="211" w:firstLineChars="100"/>
              <w:jc w:val="left"/>
              <w:textAlignment w:val="bottom"/>
              <w:rPr>
                <w:rFonts w:ascii="仿宋" w:hAnsi="仿宋" w:eastAsia="仿宋" w:cs="仿宋"/>
                <w:b/>
                <w:color w:val="000000"/>
                <w:szCs w:val="21"/>
              </w:rPr>
            </w:pPr>
            <w:r>
              <w:rPr>
                <w:rFonts w:hint="eastAsia" w:ascii="仿宋" w:hAnsi="仿宋" w:eastAsia="仿宋" w:cs="仿宋"/>
                <w:b/>
                <w:color w:val="000000"/>
                <w:kern w:val="0"/>
                <w:szCs w:val="21"/>
              </w:rPr>
              <w:t>服务项</w:t>
            </w:r>
          </w:p>
        </w:tc>
        <w:tc>
          <w:tcPr>
            <w:tcW w:w="5856" w:type="dxa"/>
            <w:tcBorders>
              <w:top w:val="single" w:color="000000" w:sz="4" w:space="0"/>
              <w:left w:val="single" w:color="000000" w:sz="4" w:space="0"/>
              <w:bottom w:val="single" w:color="000000" w:sz="4" w:space="0"/>
              <w:right w:val="single" w:color="000000" w:sz="4" w:space="0"/>
            </w:tcBorders>
            <w:noWrap/>
            <w:vAlign w:val="bottom"/>
          </w:tcPr>
          <w:p w14:paraId="0E299BAC">
            <w:pPr>
              <w:widowControl/>
              <w:ind w:firstLine="2319" w:firstLineChars="1100"/>
              <w:jc w:val="left"/>
              <w:textAlignment w:val="bottom"/>
              <w:rPr>
                <w:rFonts w:ascii="仿宋" w:hAnsi="仿宋" w:eastAsia="仿宋" w:cs="仿宋"/>
                <w:b/>
                <w:color w:val="000000"/>
                <w:szCs w:val="21"/>
              </w:rPr>
            </w:pPr>
            <w:r>
              <w:rPr>
                <w:rFonts w:hint="eastAsia" w:ascii="仿宋" w:hAnsi="仿宋" w:eastAsia="仿宋" w:cs="仿宋"/>
                <w:b/>
                <w:color w:val="000000"/>
                <w:kern w:val="0"/>
                <w:szCs w:val="21"/>
              </w:rPr>
              <w:t>服务内容</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528F104">
            <w:pPr>
              <w:widowControl/>
              <w:jc w:val="left"/>
              <w:textAlignment w:val="bottom"/>
              <w:rPr>
                <w:rFonts w:ascii="仿宋" w:hAnsi="仿宋" w:eastAsia="仿宋" w:cs="仿宋"/>
                <w:b/>
                <w:color w:val="000000"/>
                <w:szCs w:val="21"/>
              </w:rPr>
            </w:pPr>
            <w:r>
              <w:rPr>
                <w:rFonts w:hint="eastAsia" w:ascii="仿宋" w:hAnsi="仿宋" w:eastAsia="仿宋" w:cs="仿宋"/>
                <w:b/>
                <w:color w:val="000000"/>
                <w:kern w:val="0"/>
                <w:szCs w:val="21"/>
              </w:rPr>
              <w:t>数量</w:t>
            </w:r>
          </w:p>
        </w:tc>
      </w:tr>
      <w:tr w14:paraId="51671834">
        <w:tblPrEx>
          <w:tblCellMar>
            <w:top w:w="0" w:type="dxa"/>
            <w:left w:w="108" w:type="dxa"/>
            <w:bottom w:w="0" w:type="dxa"/>
            <w:right w:w="108" w:type="dxa"/>
          </w:tblCellMar>
        </w:tblPrEx>
        <w:trPr>
          <w:trHeight w:val="1364"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7638691E">
            <w:r>
              <w:rPr>
                <w:rFonts w:hint="eastAsia"/>
              </w:rPr>
              <w:t>1</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71A6679A">
            <w:r>
              <w:rPr>
                <w:rFonts w:hint="eastAsia"/>
              </w:rPr>
              <w:t>网络安全培训</w:t>
            </w:r>
          </w:p>
        </w:tc>
        <w:tc>
          <w:tcPr>
            <w:tcW w:w="5856" w:type="dxa"/>
            <w:tcBorders>
              <w:top w:val="single" w:color="000000" w:sz="4" w:space="0"/>
              <w:left w:val="single" w:color="000000" w:sz="4" w:space="0"/>
              <w:bottom w:val="single" w:color="000000" w:sz="4" w:space="0"/>
              <w:right w:val="single" w:color="000000" w:sz="4" w:space="0"/>
            </w:tcBorders>
            <w:noWrap w:val="0"/>
            <w:vAlign w:val="center"/>
          </w:tcPr>
          <w:p w14:paraId="3A3B8181">
            <w:r>
              <w:rPr>
                <w:rFonts w:hint="eastAsia"/>
              </w:rPr>
              <w:t>每半年一次网络安全培训。针对全院人员进行国家网络安全法普法培训和医院职工安全用网培训，提升网络安全意识、提高安全用网技能。全年两次培训，每半年一次。</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0756B7A8">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r>
      <w:tr w14:paraId="30CEB588">
        <w:tblPrEx>
          <w:tblCellMar>
            <w:top w:w="0" w:type="dxa"/>
            <w:left w:w="108" w:type="dxa"/>
            <w:bottom w:w="0" w:type="dxa"/>
            <w:right w:w="108" w:type="dxa"/>
          </w:tblCellMar>
        </w:tblPrEx>
        <w:trPr>
          <w:trHeight w:val="3686"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4135B62F">
            <w:r>
              <w:rPr>
                <w:rFonts w:hint="eastAsia"/>
              </w:rPr>
              <w:t>2</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5D078F06">
            <w:r>
              <w:rPr>
                <w:rFonts w:hint="eastAsia"/>
              </w:rPr>
              <w:t>安全应急演练</w:t>
            </w:r>
          </w:p>
        </w:tc>
        <w:tc>
          <w:tcPr>
            <w:tcW w:w="5856" w:type="dxa"/>
            <w:tcBorders>
              <w:top w:val="single" w:color="000000" w:sz="4" w:space="0"/>
              <w:left w:val="single" w:color="000000" w:sz="4" w:space="0"/>
              <w:bottom w:val="single" w:color="000000" w:sz="4" w:space="0"/>
              <w:right w:val="single" w:color="000000" w:sz="4" w:space="0"/>
            </w:tcBorders>
            <w:noWrap w:val="0"/>
            <w:vAlign w:val="center"/>
          </w:tcPr>
          <w:p w14:paraId="3BD2F549">
            <w:pPr>
              <w:rPr>
                <w:rFonts w:hint="eastAsia"/>
              </w:rPr>
            </w:pPr>
            <w:r>
              <w:rPr>
                <w:rFonts w:hint="eastAsia"/>
              </w:rPr>
              <w:t>全年两次应急演练，每半年一次。服务方应参照等保要求协助需方制定完善应急预案，开展应急演练，按流程处置突发安全事件：</w:t>
            </w:r>
          </w:p>
          <w:p w14:paraId="5ECA5B69">
            <w:pPr>
              <w:rPr>
                <w:rFonts w:hint="eastAsia"/>
              </w:rPr>
            </w:pPr>
            <w:r>
              <w:rPr>
                <w:rFonts w:hint="eastAsia"/>
              </w:rPr>
              <w:t>（1）服务方应协助需方制定重要事件的应急预案，包括应急处理流程、系统恢复流程等内容,进行应急预案的演练；</w:t>
            </w:r>
          </w:p>
          <w:p w14:paraId="6FDAA02E">
            <w:pPr>
              <w:rPr>
                <w:rFonts w:hint="eastAsia"/>
              </w:rPr>
            </w:pPr>
            <w:r>
              <w:rPr>
                <w:rFonts w:hint="eastAsia"/>
              </w:rPr>
              <w:t>（2）服务方应针对突发的安全事件，及时进行评估风险，按需对高危对象进行紧急安全策略加固；</w:t>
            </w:r>
          </w:p>
          <w:p w14:paraId="1518734E">
            <w:pPr>
              <w:rPr>
                <w:rFonts w:hint="eastAsia"/>
              </w:rPr>
            </w:pPr>
            <w:r>
              <w:rPr>
                <w:rFonts w:hint="eastAsia"/>
              </w:rPr>
              <w:t>（3）服务方应针对突发的安全事件，对病毒或恶意代码进行安全扫描与紧急查杀，并采取其他措施消除安全风险；</w:t>
            </w:r>
          </w:p>
          <w:p w14:paraId="577D628A">
            <w:pPr>
              <w:rPr>
                <w:rFonts w:hint="eastAsia"/>
                <w:lang w:eastAsia="zh-CN"/>
              </w:rPr>
            </w:pPr>
            <w:r>
              <w:rPr>
                <w:rFonts w:hint="eastAsia"/>
              </w:rPr>
              <w:t>（4）服务方在安全事件报告和响应处理过程中，应按流程进行汇报，分析和鉴定事件产生的原因，收集证据，记录处理过程</w:t>
            </w:r>
            <w:r>
              <w:rPr>
                <w:rFonts w:hint="eastAsia"/>
                <w:lang w:eastAsia="zh-CN"/>
              </w:rPr>
              <w:t>；</w:t>
            </w:r>
          </w:p>
          <w:p w14:paraId="46293057">
            <w:pPr>
              <w:rPr>
                <w:rFonts w:hint="eastAsia"/>
                <w:lang w:val="en-US" w:eastAsia="zh-CN"/>
              </w:rPr>
            </w:pPr>
            <w:r>
              <w:rPr>
                <w:rFonts w:hint="eastAsia"/>
                <w:lang w:val="en-US" w:eastAsia="zh-CN"/>
              </w:rPr>
              <w:t>需提交网络安全应急演练与信息系统应急演练预案、总结报告等。</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9793F80">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r>
      <w:tr w14:paraId="068D3D2C">
        <w:tblPrEx>
          <w:tblCellMar>
            <w:top w:w="0" w:type="dxa"/>
            <w:left w:w="108" w:type="dxa"/>
            <w:bottom w:w="0" w:type="dxa"/>
            <w:right w:w="108" w:type="dxa"/>
          </w:tblCellMar>
        </w:tblPrEx>
        <w:trPr>
          <w:trHeight w:val="1404"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651877EF">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05A52F4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rPr>
              <w:t>漏扫及渗透测试</w:t>
            </w:r>
          </w:p>
        </w:tc>
        <w:tc>
          <w:tcPr>
            <w:tcW w:w="5856" w:type="dxa"/>
            <w:tcBorders>
              <w:top w:val="single" w:color="000000" w:sz="4" w:space="0"/>
              <w:left w:val="single" w:color="000000" w:sz="4" w:space="0"/>
              <w:bottom w:val="single" w:color="000000" w:sz="4" w:space="0"/>
              <w:right w:val="single" w:color="000000" w:sz="4" w:space="0"/>
            </w:tcBorders>
            <w:noWrap w:val="0"/>
            <w:vAlign w:val="bottom"/>
          </w:tcPr>
          <w:p w14:paraId="7DF368AE">
            <w:pPr>
              <w:widowControl/>
              <w:jc w:val="left"/>
              <w:textAlignment w:val="bottom"/>
              <w:rPr>
                <w:rFonts w:hint="eastAsia" w:ascii="宋体" w:hAnsi="宋体" w:eastAsia="宋体" w:cs="宋体"/>
                <w:color w:val="000000"/>
                <w:szCs w:val="21"/>
              </w:rPr>
            </w:pPr>
            <w:r>
              <w:rPr>
                <w:rFonts w:hint="eastAsia" w:ascii="宋体" w:hAnsi="宋体" w:eastAsia="宋体" w:cs="宋体"/>
                <w:color w:val="000000"/>
                <w:kern w:val="0"/>
                <w:szCs w:val="21"/>
              </w:rPr>
              <w:t>提供针对医院业务系统的漏扫及渗透测试服务，模拟黑客攻击的方式，对业务系统的安全漏洞、安全隐患进行全面检测，最终目标是查找业务系统的安全漏洞、评估系统的安全状态、完善可控范围漏洞修复。</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5D455769">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r>
      <w:tr w14:paraId="4BA109B2">
        <w:tblPrEx>
          <w:tblCellMar>
            <w:top w:w="0" w:type="dxa"/>
            <w:left w:w="108" w:type="dxa"/>
            <w:bottom w:w="0" w:type="dxa"/>
            <w:right w:w="108" w:type="dxa"/>
          </w:tblCellMar>
        </w:tblPrEx>
        <w:trPr>
          <w:trHeight w:val="922"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6E892213">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6F3D4CF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eastAsia="zh-CN"/>
              </w:rPr>
              <w:t>三级</w:t>
            </w:r>
            <w:r>
              <w:rPr>
                <w:rFonts w:hint="eastAsia" w:ascii="宋体" w:hAnsi="宋体" w:eastAsia="宋体" w:cs="宋体"/>
                <w:color w:val="000000"/>
                <w:kern w:val="0"/>
                <w:szCs w:val="21"/>
              </w:rPr>
              <w:t>等保测评</w:t>
            </w:r>
          </w:p>
        </w:tc>
        <w:tc>
          <w:tcPr>
            <w:tcW w:w="5856" w:type="dxa"/>
            <w:tcBorders>
              <w:top w:val="single" w:color="000000" w:sz="4" w:space="0"/>
              <w:left w:val="single" w:color="000000" w:sz="4" w:space="0"/>
              <w:bottom w:val="single" w:color="000000" w:sz="4" w:space="0"/>
              <w:right w:val="single" w:color="000000" w:sz="4" w:space="0"/>
            </w:tcBorders>
            <w:noWrap w:val="0"/>
            <w:vAlign w:val="center"/>
          </w:tcPr>
          <w:p w14:paraId="735FF6A1">
            <w:pPr>
              <w:widowControl/>
              <w:jc w:val="left"/>
              <w:textAlignment w:val="center"/>
              <w:rPr>
                <w:rFonts w:hint="eastAsia" w:ascii="宋体" w:hAnsi="宋体" w:eastAsia="宋体" w:cs="宋体"/>
                <w:color w:val="000000"/>
                <w:szCs w:val="21"/>
              </w:rPr>
            </w:pPr>
            <w:r>
              <w:rPr>
                <w:rFonts w:hint="eastAsia" w:ascii="宋体" w:hAnsi="宋体" w:eastAsia="宋体" w:cs="宋体"/>
                <w:sz w:val="21"/>
                <w:szCs w:val="21"/>
              </w:rPr>
              <w:t>医院管理信息系统（HIS）及医学影像存储系统（PACS）202</w:t>
            </w:r>
            <w:r>
              <w:rPr>
                <w:rFonts w:hint="eastAsia" w:ascii="宋体" w:hAnsi="宋体" w:eastAsia="宋体" w:cs="宋体"/>
                <w:sz w:val="21"/>
                <w:szCs w:val="21"/>
                <w:lang w:val="en-US" w:eastAsia="zh-CN"/>
              </w:rPr>
              <w:t>6</w:t>
            </w:r>
            <w:r>
              <w:rPr>
                <w:rFonts w:hint="eastAsia" w:ascii="宋体" w:hAnsi="宋体" w:eastAsia="宋体" w:cs="宋体"/>
                <w:sz w:val="21"/>
                <w:szCs w:val="21"/>
              </w:rPr>
              <w:t>年网络安全三级等级保护测评。</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031CB138">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w:t>
            </w:r>
          </w:p>
        </w:tc>
      </w:tr>
      <w:tr w14:paraId="4FF6010E">
        <w:tblPrEx>
          <w:tblCellMar>
            <w:top w:w="0" w:type="dxa"/>
            <w:left w:w="108" w:type="dxa"/>
            <w:bottom w:w="0" w:type="dxa"/>
            <w:right w:w="108" w:type="dxa"/>
          </w:tblCellMar>
        </w:tblPrEx>
        <w:trPr>
          <w:trHeight w:val="857" w:hRule="atLeast"/>
        </w:trPr>
        <w:tc>
          <w:tcPr>
            <w:tcW w:w="764" w:type="dxa"/>
            <w:tcBorders>
              <w:top w:val="single" w:color="000000" w:sz="4" w:space="0"/>
              <w:left w:val="single" w:color="000000" w:sz="4" w:space="0"/>
              <w:bottom w:val="single" w:color="000000" w:sz="4" w:space="0"/>
              <w:right w:val="single" w:color="000000" w:sz="4" w:space="0"/>
            </w:tcBorders>
            <w:noWrap w:val="0"/>
            <w:vAlign w:val="center"/>
          </w:tcPr>
          <w:p w14:paraId="4AEE6115">
            <w:pPr>
              <w:widowControl/>
              <w:jc w:val="center"/>
              <w:textAlignment w:val="center"/>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5</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14:paraId="75ED78DA">
            <w:pPr>
              <w:widowControl/>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每季度一次巡检服务</w:t>
            </w:r>
          </w:p>
        </w:tc>
        <w:tc>
          <w:tcPr>
            <w:tcW w:w="5856" w:type="dxa"/>
            <w:tcBorders>
              <w:top w:val="single" w:color="000000" w:sz="4" w:space="0"/>
              <w:left w:val="single" w:color="000000" w:sz="4" w:space="0"/>
              <w:bottom w:val="single" w:color="000000" w:sz="4" w:space="0"/>
              <w:right w:val="single" w:color="000000" w:sz="4" w:space="0"/>
            </w:tcBorders>
            <w:noWrap w:val="0"/>
            <w:vAlign w:val="center"/>
          </w:tcPr>
          <w:p w14:paraId="6D4B407C">
            <w:pPr>
              <w:widowControl/>
              <w:jc w:val="left"/>
              <w:textAlignment w:val="center"/>
              <w:rPr>
                <w:rFonts w:hint="eastAsia" w:ascii="宋体" w:hAnsi="宋体" w:eastAsia="宋体" w:cs="宋体"/>
                <w:sz w:val="18"/>
                <w:szCs w:val="18"/>
              </w:rPr>
            </w:pPr>
            <w:r>
              <w:rPr>
                <w:rFonts w:hint="eastAsia" w:ascii="宋体" w:hAnsi="宋体" w:eastAsia="宋体" w:cs="宋体"/>
                <w:color w:val="000000"/>
                <w:kern w:val="0"/>
                <w:szCs w:val="21"/>
              </w:rPr>
              <w:t>检测业务系统漏洞补丁并完善可控范围漏洞补丁修复。</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0B12F50A">
            <w:pPr>
              <w:widowControl/>
              <w:jc w:val="center"/>
              <w:textAlignment w:val="center"/>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1</w:t>
            </w:r>
          </w:p>
        </w:tc>
      </w:tr>
    </w:tbl>
    <w:p w14:paraId="5295A05B">
      <w:pPr>
        <w:ind w:firstLine="422" w:firstLineChars="200"/>
        <w:rPr>
          <w:rFonts w:hint="eastAsia"/>
          <w:b/>
        </w:rPr>
      </w:pPr>
    </w:p>
    <w:p w14:paraId="4F8F2B63">
      <w:pPr>
        <w:numPr>
          <w:ilvl w:val="0"/>
          <w:numId w:val="0"/>
        </w:numPr>
        <w:rPr>
          <w:rFonts w:hint="eastAsia" w:ascii="黑体" w:hAnsi="黑体" w:eastAsia="黑体"/>
          <w:sz w:val="32"/>
          <w:szCs w:val="32"/>
          <w:lang w:eastAsia="zh-CN"/>
        </w:rPr>
      </w:pPr>
    </w:p>
    <w:p w14:paraId="52300D5C">
      <w:pPr>
        <w:numPr>
          <w:ilvl w:val="0"/>
          <w:numId w:val="1"/>
        </w:numPr>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主要参数</w:t>
      </w:r>
    </w:p>
    <w:p w14:paraId="432922D9">
      <w:pPr>
        <w:widowControl/>
        <w:jc w:val="left"/>
        <w:rPr>
          <w:rFonts w:hint="eastAsia" w:ascii="宋体" w:hAnsi="宋体" w:eastAsia="宋体" w:cs="宋体"/>
          <w:color w:val="000000"/>
          <w:kern w:val="0"/>
          <w:sz w:val="28"/>
          <w:szCs w:val="28"/>
        </w:rPr>
      </w:pPr>
      <w:r>
        <w:rPr>
          <w:rFonts w:hint="eastAsia" w:ascii="黑体" w:hAnsi="黑体" w:eastAsia="黑体"/>
          <w:sz w:val="32"/>
          <w:szCs w:val="32"/>
          <w:lang w:val="en-US" w:eastAsia="zh-CN"/>
        </w:rPr>
        <w:t xml:space="preserve">    </w:t>
      </w:r>
      <w:r>
        <w:rPr>
          <w:rFonts w:hint="eastAsia" w:ascii="黑体" w:hAnsi="黑体" w:eastAsia="黑体"/>
          <w:sz w:val="28"/>
          <w:szCs w:val="28"/>
          <w:lang w:val="en-US" w:eastAsia="zh-CN"/>
        </w:rPr>
        <w:t>1.</w:t>
      </w:r>
      <w:r>
        <w:rPr>
          <w:rFonts w:hint="eastAsia" w:ascii="宋体" w:hAnsi="宋体" w:eastAsia="宋体" w:cs="宋体"/>
          <w:color w:val="000000"/>
          <w:kern w:val="0"/>
          <w:sz w:val="28"/>
          <w:szCs w:val="28"/>
        </w:rPr>
        <w:t>具有详细且完善的项目管理方案，项目管理方案应包含但不限于本项目实施组织架构、项目管理原则、项目进度管理、项目变更管理、项目沟通管理、项目保密管理、项目文档管理、项目验收管理等内容。</w:t>
      </w:r>
    </w:p>
    <w:p w14:paraId="71697D7D">
      <w:pPr>
        <w:widowControl/>
        <w:jc w:val="left"/>
        <w:rPr>
          <w:rFonts w:hint="eastAsia" w:ascii="宋体" w:hAnsi="宋体" w:eastAsia="宋体" w:cs="宋体"/>
          <w:color w:val="000000"/>
          <w:kern w:val="0"/>
          <w:sz w:val="28"/>
          <w:szCs w:val="28"/>
        </w:rPr>
      </w:pPr>
      <w:r>
        <w:rPr>
          <w:rFonts w:hint="eastAsia" w:ascii="黑体" w:hAnsi="黑体" w:eastAsia="黑体"/>
          <w:sz w:val="28"/>
          <w:szCs w:val="28"/>
          <w:lang w:val="en-US" w:eastAsia="zh-CN"/>
        </w:rPr>
        <w:t xml:space="preserve"> </w:t>
      </w:r>
      <w:r>
        <w:rPr>
          <w:rFonts w:hint="eastAsia" w:ascii="宋体" w:hAnsi="宋体" w:eastAsia="宋体" w:cs="宋体"/>
          <w:sz w:val="28"/>
          <w:szCs w:val="28"/>
          <w:lang w:val="en-US" w:eastAsia="zh-CN"/>
        </w:rPr>
        <w:t xml:space="preserve">   2</w:t>
      </w:r>
      <w:r>
        <w:rPr>
          <w:rFonts w:hint="eastAsia" w:ascii="宋体" w:hAnsi="宋体" w:cs="宋体"/>
          <w:sz w:val="28"/>
          <w:szCs w:val="28"/>
          <w:lang w:val="en-US" w:eastAsia="zh-CN"/>
        </w:rPr>
        <w:t>.</w:t>
      </w:r>
      <w:r>
        <w:rPr>
          <w:rFonts w:hint="eastAsia" w:ascii="宋体" w:hAnsi="宋体" w:eastAsia="宋体" w:cs="宋体"/>
          <w:color w:val="000000"/>
          <w:kern w:val="0"/>
          <w:sz w:val="28"/>
          <w:szCs w:val="28"/>
        </w:rPr>
        <w:t>具有详细且完善的等保测评实施方案，方案内容应包含但不限于项目范围、项目流程、工作内容、测评指标、测评工具以及报告编制步骤说明。</w:t>
      </w:r>
    </w:p>
    <w:p w14:paraId="06E540A1">
      <w:pPr>
        <w:widowControl/>
        <w:jc w:val="left"/>
        <w:rPr>
          <w:rFonts w:hint="eastAsia" w:ascii="宋体" w:hAnsi="宋体" w:eastAsia="宋体" w:cs="宋体"/>
          <w:color w:val="000000"/>
          <w:kern w:val="0"/>
          <w:sz w:val="28"/>
          <w:szCs w:val="28"/>
          <w:lang w:val="en-US" w:eastAsia="zh-CN"/>
        </w:rPr>
      </w:pPr>
      <w:r>
        <w:rPr>
          <w:rFonts w:hint="eastAsia" w:ascii="黑体" w:hAnsi="黑体" w:eastAsia="黑体"/>
          <w:sz w:val="28"/>
          <w:szCs w:val="28"/>
          <w:lang w:val="en-US" w:eastAsia="zh-CN"/>
        </w:rPr>
        <w:t xml:space="preserve">    </w:t>
      </w:r>
      <w:r>
        <w:rPr>
          <w:rFonts w:hint="eastAsia" w:ascii="宋体" w:hAnsi="宋体" w:eastAsia="宋体" w:cs="宋体"/>
          <w:sz w:val="28"/>
          <w:szCs w:val="28"/>
          <w:lang w:val="en-US" w:eastAsia="zh-CN"/>
        </w:rPr>
        <w:t>3</w:t>
      </w:r>
      <w:r>
        <w:rPr>
          <w:rFonts w:hint="eastAsia" w:ascii="宋体" w:hAnsi="宋体" w:cs="宋体"/>
          <w:sz w:val="28"/>
          <w:szCs w:val="28"/>
          <w:lang w:val="en-US" w:eastAsia="zh-CN"/>
        </w:rPr>
        <w:t>.</w:t>
      </w:r>
      <w:r>
        <w:rPr>
          <w:rFonts w:hint="eastAsia" w:ascii="宋体" w:hAnsi="宋体" w:eastAsia="宋体" w:cs="宋体"/>
          <w:color w:val="000000"/>
          <w:kern w:val="0"/>
          <w:sz w:val="28"/>
          <w:szCs w:val="28"/>
          <w:lang w:val="en-US" w:eastAsia="zh-CN"/>
        </w:rPr>
        <w:t>具有自主知识产权且满足项目实施要求的检测工具，提供相关授权或提供软件著作权登记证书复印件（加盖鲜章）。</w:t>
      </w:r>
    </w:p>
    <w:p w14:paraId="5E99FDCE">
      <w:pPr>
        <w:widowControl/>
        <w:jc w:val="left"/>
        <w:rPr>
          <w:rFonts w:ascii="仿宋_GB2312" w:hAnsi="仿宋_GB2312" w:eastAsia="仿宋_GB2312" w:cs="宋体"/>
          <w:color w:val="000000"/>
          <w:kern w:val="0"/>
          <w:sz w:val="28"/>
          <w:szCs w:val="28"/>
        </w:rPr>
      </w:pPr>
      <w:r>
        <w:rPr>
          <w:rFonts w:hint="eastAsia" w:ascii="黑体" w:hAnsi="黑体" w:eastAsia="黑体"/>
          <w:sz w:val="28"/>
          <w:szCs w:val="28"/>
          <w:lang w:val="en-US" w:eastAsia="zh-CN"/>
        </w:rPr>
        <w:t xml:space="preserve">    4.</w:t>
      </w:r>
      <w:r>
        <w:rPr>
          <w:rFonts w:hint="eastAsia" w:ascii="宋体" w:hAnsi="宋体" w:eastAsia="宋体" w:cs="宋体"/>
          <w:color w:val="000000"/>
          <w:kern w:val="0"/>
          <w:sz w:val="28"/>
          <w:szCs w:val="28"/>
        </w:rPr>
        <w:t>服务提供商应具备网络安全意识以及网络安全技术培训能力。培训方案应详细列明培训方式、网络安全意识培训内容、网络安全技术培训内容、培训课时安排、培训讲师团队等内容。</w:t>
      </w:r>
    </w:p>
    <w:p w14:paraId="5DBC73D7">
      <w:pPr>
        <w:widowControl/>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5</w:t>
      </w:r>
      <w:r>
        <w:rPr>
          <w:rFonts w:hint="eastAsia" w:ascii="宋体" w:hAnsi="宋体" w:cs="宋体"/>
          <w:color w:val="000000"/>
          <w:kern w:val="0"/>
          <w:sz w:val="28"/>
          <w:szCs w:val="28"/>
          <w:lang w:val="en-US" w:eastAsia="zh-CN"/>
        </w:rPr>
        <w:t>.</w:t>
      </w:r>
      <w:r>
        <w:rPr>
          <w:rFonts w:hint="eastAsia" w:ascii="宋体" w:hAnsi="宋体" w:eastAsia="宋体" w:cs="宋体"/>
          <w:color w:val="000000"/>
          <w:kern w:val="0"/>
          <w:sz w:val="28"/>
          <w:szCs w:val="28"/>
        </w:rPr>
        <w:t>具有详细的测评质量管理方案，应体现投标人具备完善的质量管理体系和充分的质量保证措施。方案内容应包含但不限于质量管理目标、质量管理体系、质量评定工作程序、质量保证措施以及针对本项目的专项质量管理方式。</w:t>
      </w:r>
    </w:p>
    <w:p w14:paraId="5BD6E0C3">
      <w:pPr>
        <w:widowControl/>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6</w:t>
      </w:r>
      <w:r>
        <w:rPr>
          <w:rFonts w:hint="eastAsia" w:ascii="宋体" w:hAnsi="宋体" w:cs="宋体"/>
          <w:color w:val="000000"/>
          <w:kern w:val="0"/>
          <w:sz w:val="28"/>
          <w:szCs w:val="28"/>
          <w:lang w:val="en-US" w:eastAsia="zh-CN"/>
        </w:rPr>
        <w:t>.</w:t>
      </w:r>
      <w:r>
        <w:rPr>
          <w:rFonts w:hint="eastAsia" w:ascii="宋体" w:hAnsi="宋体" w:eastAsia="宋体" w:cs="宋体"/>
          <w:color w:val="000000"/>
          <w:kern w:val="0"/>
          <w:sz w:val="28"/>
          <w:szCs w:val="28"/>
        </w:rPr>
        <w:t>具有详细的测评风险管理方案，方案内容应包含但不限于风险识别措施、风险分析措施、风险处置策略、风险监控策略、专门针对本项目可能发生的风险以及相应的应对措施。</w:t>
      </w:r>
    </w:p>
    <w:p w14:paraId="2FF43CDE">
      <w:pPr>
        <w:widowControl/>
        <w:ind w:firstLine="560" w:firstLineChars="200"/>
        <w:jc w:val="left"/>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7</w:t>
      </w:r>
      <w:r>
        <w:rPr>
          <w:rFonts w:hint="eastAsia" w:ascii="宋体" w:hAnsi="宋体" w:cs="宋体"/>
          <w:color w:val="000000"/>
          <w:kern w:val="0"/>
          <w:sz w:val="28"/>
          <w:szCs w:val="28"/>
          <w:lang w:val="en-US" w:eastAsia="zh-CN"/>
        </w:rPr>
        <w:t>.</w:t>
      </w:r>
      <w:r>
        <w:rPr>
          <w:rFonts w:hint="eastAsia" w:ascii="宋体" w:hAnsi="宋体" w:eastAsia="宋体" w:cs="宋体"/>
          <w:color w:val="000000"/>
          <w:kern w:val="0"/>
          <w:sz w:val="28"/>
          <w:szCs w:val="28"/>
          <w:lang w:val="en-US" w:eastAsia="zh-CN"/>
        </w:rPr>
        <w:t>服务提供商具备有效的《网络安全服务认证证书等级保护测评服务认证》证书或在公安部等保测评机构名录之内、具备有效的商用密码应用安全性评估资质。且认证证书处于正常状态，近5年内未被认证机构通报取消或暂停使用测评机构服务认证证书，或未被国家网络安全等级保护工作主管部门、行业协会通报，或未被国家网络安全等级保护工作主管部门暂停开展等级保护测评业务并处于整</w:t>
      </w:r>
      <w:bookmarkStart w:id="0" w:name="_GoBack"/>
      <w:bookmarkEnd w:id="0"/>
      <w:r>
        <w:rPr>
          <w:rFonts w:hint="eastAsia" w:ascii="宋体" w:hAnsi="宋体" w:eastAsia="宋体" w:cs="宋体"/>
          <w:color w:val="000000"/>
          <w:kern w:val="0"/>
          <w:sz w:val="28"/>
          <w:szCs w:val="28"/>
          <w:lang w:val="en-US" w:eastAsia="zh-CN"/>
        </w:rPr>
        <w:t>改期内。</w:t>
      </w:r>
    </w:p>
    <w:p w14:paraId="0EFF3EC3">
      <w:pPr>
        <w:widowControl/>
        <w:ind w:firstLine="560" w:firstLineChars="200"/>
        <w:jc w:val="left"/>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8</w:t>
      </w:r>
      <w:r>
        <w:rPr>
          <w:rFonts w:hint="eastAsia" w:ascii="宋体" w:hAnsi="宋体" w:cs="宋体"/>
          <w:color w:val="000000"/>
          <w:kern w:val="0"/>
          <w:sz w:val="28"/>
          <w:szCs w:val="28"/>
          <w:lang w:val="en-US" w:eastAsia="zh-CN"/>
        </w:rPr>
        <w:t>.</w:t>
      </w:r>
      <w:r>
        <w:rPr>
          <w:rFonts w:hint="eastAsia" w:ascii="宋体" w:hAnsi="宋体" w:eastAsia="宋体" w:cs="宋体"/>
          <w:color w:val="000000"/>
          <w:kern w:val="0"/>
          <w:sz w:val="28"/>
          <w:szCs w:val="28"/>
          <w:lang w:val="en-US" w:eastAsia="zh-CN"/>
        </w:rPr>
        <w:t>现场测评服务团队成员不少于4人，需取得网络安全等级测评师证书。</w:t>
      </w:r>
    </w:p>
    <w:p w14:paraId="623A1446">
      <w:pPr>
        <w:widowControl/>
        <w:ind w:firstLine="560" w:firstLineChars="200"/>
        <w:jc w:val="left"/>
        <w:rPr>
          <w:rFonts w:hint="default" w:ascii="宋体" w:hAnsi="宋体" w:eastAsia="宋体" w:cs="宋体"/>
          <w:color w:val="000000"/>
          <w:kern w:val="0"/>
          <w:sz w:val="28"/>
          <w:szCs w:val="28"/>
          <w:lang w:val="en-US" w:eastAsia="zh-CN"/>
        </w:rPr>
      </w:pPr>
      <w:r>
        <w:rPr>
          <w:rFonts w:hint="eastAsia" w:ascii="宋体" w:hAnsi="宋体" w:cs="宋体"/>
          <w:color w:val="000000"/>
          <w:kern w:val="0"/>
          <w:sz w:val="28"/>
          <w:szCs w:val="28"/>
          <w:lang w:val="en-US" w:eastAsia="zh-CN"/>
        </w:rPr>
        <w:t>9.服务提供商应根据公安部发布的最新等保测评标准进行测评相关工作，无需额外增加测评基础服务费用。</w:t>
      </w:r>
    </w:p>
    <w:sectPr>
      <w:footerReference r:id="rId3" w:type="default"/>
      <w:footerReference r:id="rId4" w:type="even"/>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C7D5F">
    <w:pPr>
      <w:pStyle w:val="2"/>
      <w:ind w:right="18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p w14:paraId="648BE45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CE36E">
    <w:pPr>
      <w:pStyle w:val="2"/>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p w14:paraId="74081CB0">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F37086"/>
    <w:multiLevelType w:val="singleLevel"/>
    <w:tmpl w:val="6AF3708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0MjJiMTQ5NGEwYTU3NDA1YzQxMTk1ZDIzNDBiNzQifQ=="/>
  </w:docVars>
  <w:rsids>
    <w:rsidRoot w:val="00A91614"/>
    <w:rsid w:val="000223F8"/>
    <w:rsid w:val="00047966"/>
    <w:rsid w:val="000C2B18"/>
    <w:rsid w:val="001B5F9C"/>
    <w:rsid w:val="00233AE1"/>
    <w:rsid w:val="00331D5F"/>
    <w:rsid w:val="00353620"/>
    <w:rsid w:val="003743E9"/>
    <w:rsid w:val="004B596B"/>
    <w:rsid w:val="00512844"/>
    <w:rsid w:val="005B159C"/>
    <w:rsid w:val="005B74CA"/>
    <w:rsid w:val="00614099"/>
    <w:rsid w:val="007212E4"/>
    <w:rsid w:val="0074425D"/>
    <w:rsid w:val="0075540C"/>
    <w:rsid w:val="009025B0"/>
    <w:rsid w:val="009C4D9C"/>
    <w:rsid w:val="00A91614"/>
    <w:rsid w:val="00A954A2"/>
    <w:rsid w:val="00B564B3"/>
    <w:rsid w:val="00B712BF"/>
    <w:rsid w:val="00BB6891"/>
    <w:rsid w:val="00C43C94"/>
    <w:rsid w:val="00C507CF"/>
    <w:rsid w:val="00CF2051"/>
    <w:rsid w:val="00D06454"/>
    <w:rsid w:val="00D10DE9"/>
    <w:rsid w:val="00D47E45"/>
    <w:rsid w:val="00D50619"/>
    <w:rsid w:val="00D83672"/>
    <w:rsid w:val="00D87D4A"/>
    <w:rsid w:val="00DD58EA"/>
    <w:rsid w:val="00E46B09"/>
    <w:rsid w:val="00F461BD"/>
    <w:rsid w:val="04D348CB"/>
    <w:rsid w:val="087505D3"/>
    <w:rsid w:val="0B565626"/>
    <w:rsid w:val="121C0744"/>
    <w:rsid w:val="12C43BA4"/>
    <w:rsid w:val="15212F88"/>
    <w:rsid w:val="17351E9E"/>
    <w:rsid w:val="175E42DB"/>
    <w:rsid w:val="1DCA53C6"/>
    <w:rsid w:val="1F0B29AD"/>
    <w:rsid w:val="238B1303"/>
    <w:rsid w:val="28993899"/>
    <w:rsid w:val="2A364DC3"/>
    <w:rsid w:val="2A8409E3"/>
    <w:rsid w:val="2B6761B2"/>
    <w:rsid w:val="2DD37B2E"/>
    <w:rsid w:val="2FB614B6"/>
    <w:rsid w:val="339C507A"/>
    <w:rsid w:val="34166062"/>
    <w:rsid w:val="34657983"/>
    <w:rsid w:val="376E52D8"/>
    <w:rsid w:val="3BA7084C"/>
    <w:rsid w:val="3D54230E"/>
    <w:rsid w:val="415D3E87"/>
    <w:rsid w:val="41DA0001"/>
    <w:rsid w:val="448C6831"/>
    <w:rsid w:val="49284D7B"/>
    <w:rsid w:val="4AA93C99"/>
    <w:rsid w:val="4AB86730"/>
    <w:rsid w:val="4AC00E17"/>
    <w:rsid w:val="5089503F"/>
    <w:rsid w:val="511A04EC"/>
    <w:rsid w:val="513C25BC"/>
    <w:rsid w:val="51810526"/>
    <w:rsid w:val="53F90761"/>
    <w:rsid w:val="54DA4AA4"/>
    <w:rsid w:val="572F709E"/>
    <w:rsid w:val="58F55C61"/>
    <w:rsid w:val="5F6749DD"/>
    <w:rsid w:val="5F805704"/>
    <w:rsid w:val="5F9E76ED"/>
    <w:rsid w:val="629F7337"/>
    <w:rsid w:val="63B86140"/>
    <w:rsid w:val="68C20A6C"/>
    <w:rsid w:val="6B60558E"/>
    <w:rsid w:val="6E8F758B"/>
    <w:rsid w:val="6F6C0A4D"/>
    <w:rsid w:val="6F76024C"/>
    <w:rsid w:val="6FAF7678"/>
    <w:rsid w:val="7B5532E5"/>
    <w:rsid w:val="7B62561B"/>
    <w:rsid w:val="7F5308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qFormat/>
    <w:uiPriority w:val="99"/>
    <w:rPr>
      <w:sz w:val="18"/>
      <w:szCs w:val="18"/>
    </w:rPr>
  </w:style>
  <w:style w:type="character" w:customStyle="1" w:styleId="7">
    <w:name w:val="页眉 Char"/>
    <w:basedOn w:val="5"/>
    <w:link w:val="3"/>
    <w:semiHidden/>
    <w:qFormat/>
    <w:uiPriority w:val="99"/>
    <w:rPr>
      <w:sz w:val="18"/>
      <w:szCs w:val="18"/>
    </w:rPr>
  </w:style>
  <w:style w:type="paragraph" w:styleId="8">
    <w:name w:val="List Paragraph"/>
    <w:basedOn w:val="1"/>
    <w:qFormat/>
    <w:uiPriority w:val="34"/>
    <w:pPr>
      <w:ind w:firstLine="420" w:firstLineChars="200"/>
    </w:pPr>
    <w:rPr>
      <w:rFonts w:ascii="Times New Roman" w:hAnsi="Times New Roman" w:eastAsia="仿宋"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1284</Words>
  <Characters>1300</Characters>
  <Lines>28</Lines>
  <Paragraphs>7</Paragraphs>
  <TotalTime>0</TotalTime>
  <ScaleCrop>false</ScaleCrop>
  <LinksUpToDate>false</LinksUpToDate>
  <CharactersWithSpaces>1319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2023-05-04T06:19:00Z</dcterms:created>
  <dc:creator>Administrator</dc:creator>
  <cp:lastModifiedBy>Le JongSuk</cp:lastModifiedBy>
  <cp:lastPrinted>2020-06-13T04:17:00Z</cp:lastPrinted>
  <dcterms:modified xsi:type="dcterms:W3CDTF">2026-07-01T06:13:30Z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F1459C6D31194A8C9DFBDE7C81F1996C_13</vt:lpwstr>
  </property>
  <property fmtid="{D5CDD505-2E9C-101B-9397-08002B2CF9AE}" pid="4" name="KSOTemplateDocerSaveRecord">
    <vt:lpwstr>eyJoZGlkIjoiMzAyZDg2NzhkZWMxYzg3MjA0MGUzZjY3MzI5NTU2ODgiLCJ1c2VySWQiOiIxMTQ4MTUwODc3In0=</vt:lpwstr>
  </property>
</Properties>
</file>